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30" w:rsidRDefault="00E53FFE" w:rsidP="00F13791">
      <w:pPr>
        <w:pStyle w:val="2"/>
      </w:pPr>
      <w:r w:rsidRPr="00185430">
        <w:t>МИНИСТЕРСТВО ТРУДА И СОЦИАЛЬНОЙ ЗАЩИТЫ РОССИЙСКОЙ ФЕДЕРАЦИИ</w:t>
      </w:r>
    </w:p>
    <w:p w:rsidR="00185430" w:rsidRDefault="00FB033B" w:rsidP="0018543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18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18 октября 2013 г. n 544н</w:t>
      </w:r>
    </w:p>
    <w:p w:rsidR="00E53FFE" w:rsidRPr="00185430" w:rsidRDefault="00FB033B" w:rsidP="00FB03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18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профессионального стандарта педагога (педагогическая деятельность в сфере дошкольного,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начального общего, основного общего, среднего </w:t>
      </w:r>
      <w:proofErr w:type="spellStart"/>
      <w:r w:rsidRPr="0018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общегообразования</w:t>
      </w:r>
      <w:proofErr w:type="spellEnd"/>
      <w:r w:rsidRPr="0018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(воспитатель,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итель)», </w:t>
      </w:r>
      <w:r w:rsidRPr="0018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 в МИНЮСТЕ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18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декабря 2013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18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30550</w:t>
      </w:r>
    </w:p>
    <w:bookmarkEnd w:id="0"/>
    <w:p w:rsidR="004C39BB" w:rsidRPr="00E53FFE" w:rsidRDefault="004C39BB" w:rsidP="00E53F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3FFE" w:rsidRPr="00E53FFE" w:rsidRDefault="00E53FFE" w:rsidP="0018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22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E53FFE" w:rsidRPr="00E53FFE" w:rsidRDefault="00E53FFE" w:rsidP="0018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профессиональный </w:t>
      </w:r>
      <w:hyperlink r:id="rId7" w:anchor="p31" w:tooltip="Ссылка на текущий документ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E53FFE" w:rsidRPr="00E53FFE" w:rsidRDefault="00E53FFE" w:rsidP="0018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профессиональный </w:t>
      </w:r>
      <w:hyperlink r:id="rId8" w:anchor="p31" w:tooltip="Ссылка на текущий документ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"Педагог (педагогическая деятельность в</w:t>
      </w:r>
      <w:proofErr w:type="gramEnd"/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E53FFE" w:rsidRPr="00E53FFE" w:rsidRDefault="00FB033B" w:rsidP="00E5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E53FFE" w:rsidRPr="00E53FFE" w:rsidRDefault="00FB033B" w:rsidP="00E5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</w:p>
    <w:p w:rsidR="00E53FFE" w:rsidRPr="00E53FFE" w:rsidRDefault="00FB033B" w:rsidP="00E5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E53FFE" w:rsidRPr="00E53FFE" w:rsidRDefault="00FB033B" w:rsidP="00E5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</w:p>
    <w:p w:rsidR="00185430" w:rsidRDefault="00185430">
      <w: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53FFE" w:rsidRPr="00E53FFE" w:rsidTr="00E53FF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2. </w:t>
            </w:r>
            <w:hyperlink r:id="rId13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Профессиональный стандарт. Педагог (педагогическая деятельность в дошкольном, начальном общем, основном общем, среднем общем образовании) (воспитатель, учитель)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3FFE" w:rsidRPr="00E53FFE" w:rsidRDefault="00E53FFE" w:rsidP="00E53F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FF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FFE" w:rsidRPr="00E53FFE" w:rsidRDefault="00E53FFE" w:rsidP="00E53F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FF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53FFE" w:rsidRPr="00E53FFE" w:rsidRDefault="00E53FFE" w:rsidP="00E53FF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53FFE" w:rsidRPr="00E53FFE" w:rsidRDefault="00E53FFE" w:rsidP="00E53F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2013 г. N 544н</w:t>
      </w:r>
    </w:p>
    <w:p w:rsidR="00E53FFE" w:rsidRPr="00E53FFE" w:rsidRDefault="00E53FFE" w:rsidP="00E53F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3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ПРОФЕССИОНАЛЬНЫЙ СТАНДАРТПЕДАГО</w:t>
      </w:r>
      <w:proofErr w:type="gramStart"/>
      <w:r w:rsidRPr="00E53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Г(</w:t>
      </w:r>
      <w:proofErr w:type="gramEnd"/>
      <w:r w:rsidRPr="00E53F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ПЕДАГОГИЧЕСКАЯ ДЕЯТЕЛЬНОСТЬ В ДОШКОЛЬНОМ, НАЧАЛЬНОМ ОБЩЕМ,ОСНОВНОМ ОБЩЕМ, СРЕДНЕМ ОБЩЕМ ОБРАЗОВАНИИ)(ВОСПИТАТЕЛЬ, УЧИТЕЛЬ)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┌────────────────┐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│        1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└────────────────┘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Регистрационный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номер</w:t>
      </w:r>
    </w:p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I. Общие сведения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┌──────────┐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Дошкольное образование                                         │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Начальное общее образование                                    │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Основное общее образование                                     │  01.001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Среднее общее образование                                      │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вида профессиональной деятельности)             Код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│Оказание образовательных услуг по основным общеобразовательным программам│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│образовательными организациями (организациями, осуществляющими обучение)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802"/>
        <w:gridCol w:w="811"/>
        <w:gridCol w:w="3766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divId w:val="2103645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4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p699" w:tooltip="Ссылка на текущий документ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6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7733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divId w:val="62417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80.21.1.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7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КВЭД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p700" w:tooltip="Ссылка на текущий документ" w:history="1">
              <w:r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вида экономической деятельности)</w:t>
            </w:r>
          </w:p>
        </w:tc>
      </w:tr>
    </w:tbl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II. Описание трудовых функций, входящих</w:t>
      </w:r>
    </w:p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стандарт (функциональная карта вида</w:t>
      </w:r>
      <w:proofErr w:type="gramEnd"/>
    </w:p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812"/>
        <w:gridCol w:w="1531"/>
        <w:gridCol w:w="2396"/>
        <w:gridCol w:w="690"/>
        <w:gridCol w:w="1567"/>
      </w:tblGrid>
      <w:tr w:rsidR="00E53FFE" w:rsidRPr="00E53FFE" w:rsidTr="00E53FFE"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BC1A12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53FFE"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начального общего, основного общего, среднего общего образования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III. Характеристика обобщенных трудовых функций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Обобщенная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394"/>
        <w:gridCol w:w="433"/>
        <w:gridCol w:w="204"/>
        <w:gridCol w:w="1675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общего, основного общего,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1034"/>
        <w:gridCol w:w="204"/>
        <w:gridCol w:w="1749"/>
        <w:gridCol w:w="1185"/>
        <w:gridCol w:w="2830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1326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415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8F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 педагогической деятельности не допускаются лица:</w:t>
            </w:r>
          </w:p>
          <w:p w:rsidR="00E53FFE" w:rsidRPr="00BC1A12" w:rsidRDefault="00E53FFE" w:rsidP="008F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53FFE" w:rsidRPr="00BC1A12" w:rsidRDefault="00E53FFE" w:rsidP="008F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53FFE" w:rsidRPr="00BC1A12" w:rsidRDefault="00E53FFE" w:rsidP="008F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признанные</w:t>
            </w:r>
            <w:proofErr w:type="gramEnd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E53FFE" w:rsidRPr="00E53FFE" w:rsidRDefault="00E53FFE" w:rsidP="008F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характеристики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750"/>
        <w:gridCol w:w="6269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FB033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FB033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  <w:r w:rsidR="00E53FFE"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anchor="p701" w:tooltip="Ссылка на текущий документ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FB033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="00E53FFE"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anchor="p702" w:tooltip="Ссылка на текущий документ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3.1.1.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549"/>
        <w:gridCol w:w="433"/>
        <w:gridCol w:w="690"/>
        <w:gridCol w:w="3034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599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начального общего, основного общего, среднего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Владеть </w:t>
            </w:r>
            <w:proofErr w:type="gramStart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ИКТ-компетентностями</w:t>
            </w:r>
            <w:proofErr w:type="gramEnd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:</w:t>
            </w:r>
          </w:p>
          <w:p w:rsidR="00E53FFE" w:rsidRPr="00BC1A12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 </w:t>
            </w:r>
            <w:proofErr w:type="spellStart"/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общепользовательская</w:t>
            </w:r>
            <w:proofErr w:type="spellEnd"/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ИКТ-компетентность;</w:t>
            </w:r>
          </w:p>
          <w:p w:rsidR="00E53FFE" w:rsidRPr="00BC1A12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 </w:t>
            </w:r>
            <w:proofErr w:type="gramStart"/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общепедагогическая</w:t>
            </w:r>
            <w:proofErr w:type="gramEnd"/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ИКТ-компетентность;</w:t>
            </w:r>
          </w:p>
          <w:p w:rsidR="00E53FFE" w:rsidRPr="00BC1A12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 </w:t>
            </w:r>
            <w:proofErr w:type="gramStart"/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предметно-педагогическая</w:t>
            </w:r>
            <w:proofErr w:type="gramEnd"/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ИКТ-</w:t>
            </w:r>
          </w:p>
          <w:p w:rsidR="00E53FFE" w:rsidRPr="00BC1A12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 </w:t>
            </w:r>
            <w:proofErr w:type="gramStart"/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компетентность (отражающая</w:t>
            </w:r>
            <w:proofErr w:type="gramEnd"/>
          </w:p>
          <w:p w:rsidR="00E53FFE" w:rsidRPr="00BC1A12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 </w:t>
            </w:r>
            <w:proofErr w:type="gramStart"/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профессиональную</w:t>
            </w:r>
            <w:proofErr w:type="gramEnd"/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ИКТ-компетентность</w:t>
            </w:r>
          </w:p>
          <w:p w:rsidR="00E53FFE" w:rsidRPr="00BC1A12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 соответствующей области человеческой</w:t>
            </w:r>
          </w:p>
          <w:p w:rsidR="00E53FFE" w:rsidRPr="00BC1A12" w:rsidRDefault="00E53FFE" w:rsidP="00E53F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BC1A12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 деятельности)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  <w:r w:rsidR="00EB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</w:t>
            </w: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особенностей траекторий жизни, их возможные девиации, а также основы их психодиагностики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Основы </w:t>
            </w:r>
            <w:proofErr w:type="spellStart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психодидактики</w:t>
            </w:r>
            <w:proofErr w:type="spellEnd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деятельностного</w:t>
            </w:r>
            <w:proofErr w:type="spellEnd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Рабочая программа и методика </w:t>
            </w:r>
            <w:proofErr w:type="gramStart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обучения по</w:t>
            </w:r>
            <w:proofErr w:type="gramEnd"/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данному предмету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Конвенция о правах ребенка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Трудовое законодательство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BC1A12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A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FB033B" w:rsidP="00E53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E53FFE" w:rsidRPr="00E53FFE" w:rsidRDefault="00FB033B" w:rsidP="00E53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</w:p>
    <w:p w:rsidR="00E53FFE" w:rsidRPr="00E53FFE" w:rsidRDefault="00FB033B" w:rsidP="00E53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E53FFE" w:rsidRPr="00E53FFE" w:rsidRDefault="00FB033B" w:rsidP="00E53F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</w:p>
    <w:p w:rsidR="00E53FFE" w:rsidRPr="00E53FFE" w:rsidRDefault="00FB033B" w:rsidP="00E53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E53FFE"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  </w:r>
      </w:hyperlink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952"/>
        <w:gridCol w:w="433"/>
        <w:gridCol w:w="690"/>
        <w:gridCol w:w="3631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584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принятие четких правил поведения обучающимися в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и социализации личности, индикаторы и индивидуальные особенности траекторий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возможные девиации, приемы их диагностики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85430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2788"/>
        <w:gridCol w:w="433"/>
        <w:gridCol w:w="690"/>
        <w:gridCol w:w="3795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7599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и безопасного образа жизни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85430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430" w:rsidRDefault="00185430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Обобщенная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5099"/>
        <w:gridCol w:w="433"/>
        <w:gridCol w:w="191"/>
        <w:gridCol w:w="1861"/>
        <w:gridCol w:w="272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1034"/>
        <w:gridCol w:w="204"/>
        <w:gridCol w:w="1749"/>
        <w:gridCol w:w="1185"/>
        <w:gridCol w:w="2830"/>
      </w:tblGrid>
      <w:tr w:rsidR="00E53FFE" w:rsidRPr="00E53FFE" w:rsidTr="00E53FFE">
        <w:tc>
          <w:tcPr>
            <w:tcW w:w="0" w:type="auto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1326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415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Дополнительные характеристики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750"/>
        <w:gridCol w:w="6269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FB033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FB033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FB033B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53FFE" w:rsidRPr="00E53F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185430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430" w:rsidRDefault="00185430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FFE" w:rsidRPr="001F2AB9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1F2AB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3.2.1.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205"/>
        <w:gridCol w:w="433"/>
        <w:gridCol w:w="677"/>
        <w:gridCol w:w="2391"/>
        <w:gridCol w:w="150"/>
      </w:tblGrid>
      <w:tr w:rsidR="00E53FFE" w:rsidRPr="001F2AB9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B/01.5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5</w:t>
            </w:r>
          </w:p>
        </w:tc>
      </w:tr>
    </w:tbl>
    <w:p w:rsidR="00E53FFE" w:rsidRPr="001F2AB9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gree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1F2AB9" w:rsidTr="00E53FFE">
        <w:tc>
          <w:tcPr>
            <w:tcW w:w="0" w:type="auto"/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Происхождение </w:t>
            </w: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Заимствовано из </w:t>
            </w: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53FFE" w:rsidRPr="001F2AB9" w:rsidTr="00E53FFE">
        <w:tc>
          <w:tcPr>
            <w:tcW w:w="0" w:type="auto"/>
            <w:gridSpan w:val="4"/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1F2AB9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green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7504"/>
      </w:tblGrid>
      <w:tr w:rsidR="00E53FFE" w:rsidRPr="001F2AB9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Активное использование </w:t>
            </w:r>
            <w:proofErr w:type="spellStart"/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недирективной</w:t>
            </w:r>
            <w:proofErr w:type="spellEnd"/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Организация образовательного процесса на основе непосредственного общения с каждым ребенком с учетом его особых образовательных </w:t>
            </w: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потребностей</w:t>
            </w:r>
          </w:p>
        </w:tc>
      </w:tr>
      <w:tr w:rsidR="00E53FFE" w:rsidRPr="001F2AB9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сформированности</w:t>
            </w:r>
            <w:proofErr w:type="spellEnd"/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E53FFE" w:rsidRPr="001F2AB9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деятельностный</w:t>
            </w:r>
            <w:proofErr w:type="spellEnd"/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E53FFE" w:rsidRPr="001F2AB9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 xml:space="preserve">Другие </w:t>
            </w:r>
            <w:proofErr w:type="spellStart"/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характеристики</w:t>
            </w:r>
            <w:r w:rsidR="007F4A8B"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1F2AB9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F2AB9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261"/>
        <w:gridCol w:w="433"/>
        <w:gridCol w:w="677"/>
        <w:gridCol w:w="2335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589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к учебной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социальной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всем протяжении обучения в начальной школе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успехов 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региональных условий, в которых реализуется используемая основная образовательная программа начального общего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3.2.3.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4342"/>
        <w:gridCol w:w="433"/>
        <w:gridCol w:w="677"/>
        <w:gridCol w:w="2254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7598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исследовательскую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связь обучения по предмету (курсу, программе) с практикой, обсуждать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события современности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3.2.4.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559"/>
        <w:gridCol w:w="433"/>
        <w:gridCol w:w="677"/>
        <w:gridCol w:w="3037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595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логическому рассуждению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инициативы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математики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поддержание высокой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обучающихся по выбору профессий и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специальностей, где особо необходимы знания математики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 малоправдоподобных данных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диалога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баланс между самостоятельным открытием, узнаванием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визуализации данных, зависимостей, отношений, процессов, геометрических объектов;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 - численных и символьных;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данных (статистики);</w:t>
            </w:r>
          </w:p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помощь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элементов этих приложений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3.2.5.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594"/>
        <w:gridCol w:w="433"/>
        <w:gridCol w:w="677"/>
        <w:gridCol w:w="3002"/>
        <w:gridCol w:w="150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034"/>
        <w:gridCol w:w="204"/>
        <w:gridCol w:w="1802"/>
        <w:gridCol w:w="1203"/>
        <w:gridCol w:w="2969"/>
      </w:tblGrid>
      <w:tr w:rsidR="00E53FFE" w:rsidRPr="00E53FFE" w:rsidTr="00E53FFE"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FE" w:rsidRPr="00E53FFE" w:rsidTr="00E53FFE">
        <w:tc>
          <w:tcPr>
            <w:tcW w:w="0" w:type="auto"/>
            <w:gridSpan w:val="4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7589"/>
      </w:tblGrid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совместно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совместно с обучающимися источников языковой информации для решения практических или познавательных задач, в </w:t>
            </w: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интернет-форумы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интернет-конференции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видеопродуктов</w:t>
            </w:r>
            <w:proofErr w:type="spell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постоянную работу с семьями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позитивное отношение к родным языкам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интернет-языка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языка субкультур, языка СМИ, ненормативной лексики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E53FFE" w:rsidRPr="00E53FFE" w:rsidTr="00E53FFE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лингвистических элементов этих приложений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E53FFE" w:rsidRPr="00E53FFE" w:rsidTr="00E53FF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IV. Сведения об организациях - разработчиках</w:t>
      </w:r>
    </w:p>
    <w:p w:rsidR="00E53FFE" w:rsidRPr="00E53FFE" w:rsidRDefault="00E53FFE" w:rsidP="00E5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Ответственная организация-разработчик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Государственное бюджетное образовательное учреждение </w:t>
      </w:r>
      <w:proofErr w:type="gramStart"/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профессионального образования города Москвы "</w:t>
      </w:r>
      <w:proofErr w:type="gramStart"/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Московский</w:t>
      </w:r>
      <w:proofErr w:type="gramEnd"/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городской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психолого-педагогический университет"        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Ректор Рубцов Виталий Владимирович                         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E53FFE" w:rsidRPr="00E53FFE" w:rsidRDefault="00E53FFE" w:rsidP="00E53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3FFE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Наименования организаций-разработчиков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235"/>
      </w:tblGrid>
      <w:tr w:rsidR="00E53FFE" w:rsidRPr="00E53FFE" w:rsidTr="00E53FF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3FFE" w:rsidRPr="00E53FFE" w:rsidRDefault="00E53FFE" w:rsidP="00E5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Общероссийский </w:t>
      </w:r>
      <w:hyperlink r:id="rId32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Общероссийский </w:t>
      </w:r>
      <w:hyperlink r:id="rId33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деятельности.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hyperlink r:id="rId34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Общероссийский </w:t>
      </w:r>
      <w:hyperlink r:id="rId35" w:history="1">
        <w:r w:rsidRPr="00E5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</w:t>
        </w:r>
      </w:hyperlink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специальностей по образованию.</w:t>
      </w:r>
    </w:p>
    <w:p w:rsidR="00E53FFE" w:rsidRPr="00E53FFE" w:rsidRDefault="00FB033B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0" t="0" r="0" b="0"/>
            <wp:docPr id="26" name="Рисунок 26" descr="Вход для РИЦ">
              <a:hlinkClick xmlns:a="http://schemas.openxmlformats.org/drawingml/2006/main" r:id="rId36" tooltip="&quot;Вход для РИ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Вход для РИЦ">
                      <a:hlinkClick r:id="rId36" tooltip="&quot;Вход для РИ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53FF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14" name="Рисунок 14" descr="Контакты">
              <a:hlinkClick xmlns:a="http://schemas.openxmlformats.org/drawingml/2006/main" r:id="rId38" tooltip="&quot;Контакты: адреса, телефоны, схема проез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такты">
                      <a:hlinkClick r:id="rId38" tooltip="&quot;Контакты: адреса, телефоны, схема проез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13" name="Рисунок 13" descr="Написать письмо">
              <a:hlinkClick xmlns:a="http://schemas.openxmlformats.org/drawingml/2006/main" r:id="rId40" tooltip="&quot;Написать письм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писать письмо">
                      <a:hlinkClick r:id="rId40" tooltip="&quot;Написать письм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12" name="Рисунок 12" descr="Добавить в избранное">
              <a:hlinkClick xmlns:a="http://schemas.openxmlformats.org/drawingml/2006/main" r:id="rId8" tooltip="&quot;Добавить в избран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ить в избранное">
                      <a:hlinkClick r:id="rId8" tooltip="&quot;Добавить в избран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7675" cy="209550"/>
            <wp:effectExtent l="0" t="0" r="9525" b="0"/>
            <wp:docPr id="11" name="Рисунок 11" descr="English page">
              <a:hlinkClick xmlns:a="http://schemas.openxmlformats.org/drawingml/2006/main" r:id="rId43" tooltip="&quot;English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lish page">
                      <a:hlinkClick r:id="rId43" tooltip="&quot;English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14350" cy="209550"/>
            <wp:effectExtent l="0" t="0" r="0" b="0"/>
            <wp:docPr id="10" name="Рисунок 10" descr="Вход для РИЦ">
              <a:hlinkClick xmlns:a="http://schemas.openxmlformats.org/drawingml/2006/main" r:id="rId36" tooltip="&quot;Вход для РИ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ход для РИЦ">
                      <a:hlinkClick r:id="rId36" tooltip="&quot;Вход для РИ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FE" w:rsidRPr="00E53FFE" w:rsidRDefault="00E53FFE" w:rsidP="00E53FFE">
      <w:pPr>
        <w:rPr>
          <w:lang w:val="en-US"/>
        </w:rPr>
      </w:pPr>
    </w:p>
    <w:p w:rsidR="00E53FFE" w:rsidRPr="00E53FFE" w:rsidRDefault="00E53FFE" w:rsidP="00E5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4CE5" w:rsidRPr="00E53FFE" w:rsidRDefault="00BC4CE5">
      <w:pPr>
        <w:rPr>
          <w:lang w:val="en-US"/>
        </w:rPr>
      </w:pPr>
    </w:p>
    <w:sectPr w:rsidR="00BC4CE5" w:rsidRPr="00E5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94"/>
    <w:multiLevelType w:val="multilevel"/>
    <w:tmpl w:val="AB74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F107F"/>
    <w:multiLevelType w:val="multilevel"/>
    <w:tmpl w:val="2E76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125EA"/>
    <w:multiLevelType w:val="multilevel"/>
    <w:tmpl w:val="87E2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FE"/>
    <w:rsid w:val="000203A9"/>
    <w:rsid w:val="000413E6"/>
    <w:rsid w:val="00093E1E"/>
    <w:rsid w:val="000D19FD"/>
    <w:rsid w:val="000D206A"/>
    <w:rsid w:val="000D2BC4"/>
    <w:rsid w:val="001043B3"/>
    <w:rsid w:val="00170D20"/>
    <w:rsid w:val="00185430"/>
    <w:rsid w:val="001915A8"/>
    <w:rsid w:val="00191EA4"/>
    <w:rsid w:val="001B7804"/>
    <w:rsid w:val="001D0B94"/>
    <w:rsid w:val="001F26C4"/>
    <w:rsid w:val="001F2AB9"/>
    <w:rsid w:val="00203603"/>
    <w:rsid w:val="0021439D"/>
    <w:rsid w:val="00227252"/>
    <w:rsid w:val="00274A18"/>
    <w:rsid w:val="002773D3"/>
    <w:rsid w:val="002A7F10"/>
    <w:rsid w:val="00316655"/>
    <w:rsid w:val="0036070E"/>
    <w:rsid w:val="00362AFB"/>
    <w:rsid w:val="00393D8C"/>
    <w:rsid w:val="003F70F6"/>
    <w:rsid w:val="00425C5C"/>
    <w:rsid w:val="004513CC"/>
    <w:rsid w:val="004871B9"/>
    <w:rsid w:val="0048722E"/>
    <w:rsid w:val="004A1A23"/>
    <w:rsid w:val="004C0D8B"/>
    <w:rsid w:val="004C39BB"/>
    <w:rsid w:val="004E1B72"/>
    <w:rsid w:val="004E1E98"/>
    <w:rsid w:val="004E3234"/>
    <w:rsid w:val="00514A2D"/>
    <w:rsid w:val="00527C4B"/>
    <w:rsid w:val="00532C04"/>
    <w:rsid w:val="005517A2"/>
    <w:rsid w:val="00563D74"/>
    <w:rsid w:val="00570460"/>
    <w:rsid w:val="005868B6"/>
    <w:rsid w:val="00595060"/>
    <w:rsid w:val="005D3B7D"/>
    <w:rsid w:val="006103B6"/>
    <w:rsid w:val="00622F13"/>
    <w:rsid w:val="00657151"/>
    <w:rsid w:val="00667347"/>
    <w:rsid w:val="006963B4"/>
    <w:rsid w:val="006A00BB"/>
    <w:rsid w:val="006A199B"/>
    <w:rsid w:val="006C3993"/>
    <w:rsid w:val="0070363D"/>
    <w:rsid w:val="0070494E"/>
    <w:rsid w:val="007535A9"/>
    <w:rsid w:val="007751CD"/>
    <w:rsid w:val="007A2DCA"/>
    <w:rsid w:val="007A7E85"/>
    <w:rsid w:val="007C2A64"/>
    <w:rsid w:val="007D0614"/>
    <w:rsid w:val="007F4A8B"/>
    <w:rsid w:val="0086480A"/>
    <w:rsid w:val="00875B56"/>
    <w:rsid w:val="008A28F4"/>
    <w:rsid w:val="008B20AE"/>
    <w:rsid w:val="008F3080"/>
    <w:rsid w:val="00953ACC"/>
    <w:rsid w:val="009756C8"/>
    <w:rsid w:val="009C5D1F"/>
    <w:rsid w:val="009E1824"/>
    <w:rsid w:val="009F274E"/>
    <w:rsid w:val="009F4BFE"/>
    <w:rsid w:val="00A107BD"/>
    <w:rsid w:val="00A70545"/>
    <w:rsid w:val="00AB3F10"/>
    <w:rsid w:val="00AB42E1"/>
    <w:rsid w:val="00AB7D89"/>
    <w:rsid w:val="00AB7E77"/>
    <w:rsid w:val="00AC6712"/>
    <w:rsid w:val="00AE3ABD"/>
    <w:rsid w:val="00B100AE"/>
    <w:rsid w:val="00B70BA7"/>
    <w:rsid w:val="00B728A5"/>
    <w:rsid w:val="00BC1A12"/>
    <w:rsid w:val="00BC4CE5"/>
    <w:rsid w:val="00BD7AB9"/>
    <w:rsid w:val="00C004D2"/>
    <w:rsid w:val="00C10B73"/>
    <w:rsid w:val="00C13DAA"/>
    <w:rsid w:val="00C410B2"/>
    <w:rsid w:val="00C668C8"/>
    <w:rsid w:val="00C7463C"/>
    <w:rsid w:val="00C86E8B"/>
    <w:rsid w:val="00CB578A"/>
    <w:rsid w:val="00D0542D"/>
    <w:rsid w:val="00D06638"/>
    <w:rsid w:val="00D10C1E"/>
    <w:rsid w:val="00D11D2C"/>
    <w:rsid w:val="00D40293"/>
    <w:rsid w:val="00D46051"/>
    <w:rsid w:val="00D73C07"/>
    <w:rsid w:val="00D918DA"/>
    <w:rsid w:val="00D96AE9"/>
    <w:rsid w:val="00DD36D4"/>
    <w:rsid w:val="00DE6FF7"/>
    <w:rsid w:val="00DF64DD"/>
    <w:rsid w:val="00E15DE2"/>
    <w:rsid w:val="00E53FFE"/>
    <w:rsid w:val="00E540E4"/>
    <w:rsid w:val="00E86AB6"/>
    <w:rsid w:val="00EB5141"/>
    <w:rsid w:val="00EB643E"/>
    <w:rsid w:val="00ED4DC3"/>
    <w:rsid w:val="00EF3156"/>
    <w:rsid w:val="00F114DB"/>
    <w:rsid w:val="00F13791"/>
    <w:rsid w:val="00F16A6D"/>
    <w:rsid w:val="00F7734E"/>
    <w:rsid w:val="00F93F17"/>
    <w:rsid w:val="00F96995"/>
    <w:rsid w:val="00FB033B"/>
    <w:rsid w:val="00FD29CB"/>
    <w:rsid w:val="00FD7112"/>
    <w:rsid w:val="00FE728F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3F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F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F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F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3F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kimgc">
    <w:name w:val="bkimg_c"/>
    <w:basedOn w:val="a0"/>
    <w:rsid w:val="00E53FFE"/>
  </w:style>
  <w:style w:type="paragraph" w:styleId="HTML">
    <w:name w:val="HTML Preformatted"/>
    <w:basedOn w:val="a"/>
    <w:link w:val="HTML0"/>
    <w:uiPriority w:val="99"/>
    <w:unhideWhenUsed/>
    <w:rsid w:val="00E5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3F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5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53F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F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F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F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3F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kimgc">
    <w:name w:val="bkimg_c"/>
    <w:basedOn w:val="a0"/>
    <w:rsid w:val="00E53FFE"/>
  </w:style>
  <w:style w:type="paragraph" w:styleId="HTML">
    <w:name w:val="HTML Preformatted"/>
    <w:basedOn w:val="a"/>
    <w:link w:val="HTML0"/>
    <w:uiPriority w:val="99"/>
    <w:unhideWhenUsed/>
    <w:rsid w:val="00E5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3F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5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2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0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7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77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00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1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34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84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93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30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2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3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3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23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3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1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1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83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1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43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2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10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2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5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6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8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7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56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00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8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36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0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19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8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35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4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3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1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0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85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2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3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6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71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4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5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6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3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2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9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1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2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6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1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2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2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3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9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75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0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5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04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3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8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0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0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37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8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9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19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81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16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9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7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2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2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30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4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2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83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9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8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1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2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4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9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89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8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1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62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7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56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6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4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43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4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3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1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54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9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7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8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76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1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46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9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3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6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4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31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9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4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9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2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08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2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9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5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80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3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57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3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8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9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4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95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4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48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5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2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2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10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4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43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75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2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0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5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5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23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2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8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9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8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7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2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9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4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2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05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15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9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0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8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4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1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5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1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5553/?frame=1" TargetMode="External"/><Relationship Id="rId13" Type="http://schemas.openxmlformats.org/officeDocument/2006/relationships/hyperlink" Target="http://www.consultant.ru/document/cons_doc_LAW_155553/?frame=1" TargetMode="External"/><Relationship Id="rId18" Type="http://schemas.openxmlformats.org/officeDocument/2006/relationships/hyperlink" Target="http://www.consultant.ru/document/cons_doc_LAW_155553/?frame=3" TargetMode="External"/><Relationship Id="rId26" Type="http://schemas.openxmlformats.org/officeDocument/2006/relationships/hyperlink" Target="http://www.consultant.ru/document/cons_doc_LAW_155553/?frame=2" TargetMode="External"/><Relationship Id="rId39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55553/?frame=3" TargetMode="External"/><Relationship Id="rId34" Type="http://schemas.openxmlformats.org/officeDocument/2006/relationships/hyperlink" Target="http://www.consultant.ru/document/cons_doc_LAW_116278/" TargetMode="External"/><Relationship Id="rId42" Type="http://schemas.openxmlformats.org/officeDocument/2006/relationships/image" Target="media/image4.gif"/><Relationship Id="rId7" Type="http://schemas.openxmlformats.org/officeDocument/2006/relationships/hyperlink" Target="http://www.consultant.ru/document/cons_doc_LAW_155553/?frame=1" TargetMode="External"/><Relationship Id="rId12" Type="http://schemas.openxmlformats.org/officeDocument/2006/relationships/hyperlink" Target="http://www.consultant.ru/document/cons_doc_LAW_155553/?frame=3" TargetMode="External"/><Relationship Id="rId17" Type="http://schemas.openxmlformats.org/officeDocument/2006/relationships/hyperlink" Target="http://www.consultant.ru/document/cons_doc_LAW_128326/?dst=100013" TargetMode="External"/><Relationship Id="rId25" Type="http://schemas.openxmlformats.org/officeDocument/2006/relationships/hyperlink" Target="http://www.consultant.ru/document/cons_doc_LAW_155553/?frame=1" TargetMode="External"/><Relationship Id="rId33" Type="http://schemas.openxmlformats.org/officeDocument/2006/relationships/hyperlink" Target="http://www.consultant.ru/document/cons_doc_LAW_128326/?dst=100013" TargetMode="External"/><Relationship Id="rId38" Type="http://schemas.openxmlformats.org/officeDocument/2006/relationships/hyperlink" Target="http://www.consultant.ru/sys/contact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5767/" TargetMode="External"/><Relationship Id="rId20" Type="http://schemas.openxmlformats.org/officeDocument/2006/relationships/hyperlink" Target="http://www.consultant.ru/document/cons_doc_LAW_116278/?dst=100009" TargetMode="External"/><Relationship Id="rId29" Type="http://schemas.openxmlformats.org/officeDocument/2006/relationships/hyperlink" Target="http://www.consultant.ru/document/cons_doc_LAW_115767/" TargetMode="External"/><Relationship Id="rId41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1271/?dst=100041" TargetMode="External"/><Relationship Id="rId11" Type="http://schemas.openxmlformats.org/officeDocument/2006/relationships/hyperlink" Target="http://www.consultant.ru/document/cons_doc_LAW_155553/?frame=2" TargetMode="External"/><Relationship Id="rId24" Type="http://schemas.openxmlformats.org/officeDocument/2006/relationships/hyperlink" Target="http://www.consultant.ru/document/cons_doc_LAW_155553/" TargetMode="External"/><Relationship Id="rId32" Type="http://schemas.openxmlformats.org/officeDocument/2006/relationships/hyperlink" Target="http://www.consultant.ru/document/cons_doc_LAW_115767/" TargetMode="External"/><Relationship Id="rId37" Type="http://schemas.openxmlformats.org/officeDocument/2006/relationships/image" Target="media/image1.gif"/><Relationship Id="rId40" Type="http://schemas.openxmlformats.org/officeDocument/2006/relationships/hyperlink" Target="http://www.consultant.ru/sys/mailto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5553/?frame=3" TargetMode="External"/><Relationship Id="rId23" Type="http://schemas.openxmlformats.org/officeDocument/2006/relationships/hyperlink" Target="http://www.consultant.ru/document/cons_doc_LAW_155553/?frame=3" TargetMode="External"/><Relationship Id="rId28" Type="http://schemas.openxmlformats.org/officeDocument/2006/relationships/hyperlink" Target="http://www.consultant.ru/document/cons_doc_LAW_155553/" TargetMode="External"/><Relationship Id="rId36" Type="http://schemas.openxmlformats.org/officeDocument/2006/relationships/hyperlink" Target="http://ric.consultant.ru/" TargetMode="External"/><Relationship Id="rId10" Type="http://schemas.openxmlformats.org/officeDocument/2006/relationships/hyperlink" Target="http://www.consultant.ru/document/cons_doc_LAW_155553/?frame=1" TargetMode="External"/><Relationship Id="rId19" Type="http://schemas.openxmlformats.org/officeDocument/2006/relationships/hyperlink" Target="http://www.consultant.ru/document/cons_doc_LAW_115767/" TargetMode="External"/><Relationship Id="rId31" Type="http://schemas.openxmlformats.org/officeDocument/2006/relationships/hyperlink" Target="http://www.consultant.ru/document/cons_doc_LAW_115840/" TargetMode="External"/><Relationship Id="rId44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5553/" TargetMode="External"/><Relationship Id="rId14" Type="http://schemas.openxmlformats.org/officeDocument/2006/relationships/hyperlink" Target="http://www.consultant.ru/document/cons_doc_LAW_115767/" TargetMode="External"/><Relationship Id="rId22" Type="http://schemas.openxmlformats.org/officeDocument/2006/relationships/hyperlink" Target="http://www.consultant.ru/document/cons_doc_LAW_115840/" TargetMode="External"/><Relationship Id="rId27" Type="http://schemas.openxmlformats.org/officeDocument/2006/relationships/hyperlink" Target="http://www.consultant.ru/document/cons_doc_LAW_155553/?frame=3" TargetMode="External"/><Relationship Id="rId30" Type="http://schemas.openxmlformats.org/officeDocument/2006/relationships/hyperlink" Target="http://www.consultant.ru/document/cons_doc_LAW_116278/?dst=100009" TargetMode="External"/><Relationship Id="rId35" Type="http://schemas.openxmlformats.org/officeDocument/2006/relationships/hyperlink" Target="http://www.consultant.ru/document/cons_doc_LAW_115840/" TargetMode="External"/><Relationship Id="rId43" Type="http://schemas.openxmlformats.org/officeDocument/2006/relationships/hyperlink" Target="http://www.consultant.ru/sys/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Овечкина</dc:creator>
  <cp:lastModifiedBy>Наталья</cp:lastModifiedBy>
  <cp:revision>3</cp:revision>
  <dcterms:created xsi:type="dcterms:W3CDTF">2014-02-25T11:19:00Z</dcterms:created>
  <dcterms:modified xsi:type="dcterms:W3CDTF">2016-10-28T12:53:00Z</dcterms:modified>
</cp:coreProperties>
</file>